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ntic Slab" w:cs="Antic Slab" w:eastAsia="Antic Slab" w:hAnsi="Antic Slab"/>
          <w:sz w:val="24"/>
          <w:szCs w:val="24"/>
        </w:rPr>
      </w:pPr>
      <w:r w:rsidDel="00000000" w:rsidR="00000000" w:rsidRPr="00000000">
        <w:rPr>
          <w:rFonts w:ascii="Staatliches" w:cs="Staatliches" w:eastAsia="Staatliches" w:hAnsi="Staatliches"/>
          <w:sz w:val="60"/>
          <w:szCs w:val="60"/>
          <w:rtl w:val="0"/>
        </w:rPr>
        <w:t xml:space="preserve">RECIPROCAL Coaching </w:t>
      </w:r>
      <w:r w:rsidDel="00000000" w:rsidR="00000000" w:rsidRPr="00000000">
        <w:rPr>
          <w:rtl w:val="0"/>
        </w:rPr>
      </w:r>
    </w:p>
    <w:p w:rsidR="00000000" w:rsidDel="00000000" w:rsidP="00000000" w:rsidRDefault="00000000" w:rsidRPr="00000000" w14:paraId="00000002">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03">
      <w:pPr>
        <w:rPr>
          <w:rFonts w:ascii="Antic Slab" w:cs="Antic Slab" w:eastAsia="Antic Slab" w:hAnsi="Antic Slab"/>
          <w:sz w:val="24"/>
          <w:szCs w:val="24"/>
        </w:rPr>
      </w:pPr>
      <w:r w:rsidDel="00000000" w:rsidR="00000000" w:rsidRPr="00000000">
        <w:rPr>
          <w:rFonts w:ascii="Antic Slab" w:cs="Antic Slab" w:eastAsia="Antic Slab" w:hAnsi="Antic Slab"/>
          <w:sz w:val="24"/>
          <w:szCs w:val="24"/>
          <w:rtl w:val="0"/>
        </w:rPr>
        <w:t xml:space="preserve">The reciprocal coaching model is designed to support your professional growth. It provides an opportunity to gain insights directly from and with your colleagues as you pursue individual goals, and receive consistent feedback for continuous improvement. This collaborative self-reflection is instrumental in improving instructional effectiveness. Below are steps you can take to structure your collaboration and to track your progress.</w:t>
      </w:r>
    </w:p>
    <w:p w:rsidR="00000000" w:rsidDel="00000000" w:rsidP="00000000" w:rsidRDefault="00000000" w:rsidRPr="00000000" w14:paraId="00000004">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05">
      <w:pPr>
        <w:rPr>
          <w:rFonts w:ascii="Antic Slab" w:cs="Antic Slab" w:eastAsia="Antic Slab" w:hAnsi="Antic Slab"/>
          <w:sz w:val="24"/>
          <w:szCs w:val="24"/>
        </w:rPr>
      </w:pPr>
      <w:r w:rsidDel="00000000" w:rsidR="00000000" w:rsidRPr="00000000">
        <w:rPr>
          <w:rFonts w:ascii="Antic Slab" w:cs="Antic Slab" w:eastAsia="Antic Slab" w:hAnsi="Antic Slab"/>
          <w:sz w:val="24"/>
          <w:szCs w:val="24"/>
          <w:rtl w:val="0"/>
        </w:rPr>
        <w:t xml:space="preserve">       </w:t>
      </w:r>
    </w:p>
    <w:p w:rsidR="00000000" w:rsidDel="00000000" w:rsidP="00000000" w:rsidRDefault="00000000" w:rsidRPr="00000000" w14:paraId="00000006">
      <w:pPr>
        <w:rPr>
          <w:rFonts w:ascii="Antic Slab" w:cs="Antic Slab" w:eastAsia="Antic Slab" w:hAnsi="Antic Slab"/>
          <w:sz w:val="24"/>
          <w:szCs w:val="24"/>
        </w:rPr>
      </w:pPr>
      <w:r w:rsidDel="00000000" w:rsidR="00000000" w:rsidRPr="00000000">
        <w:rPr>
          <w:rtl w:val="0"/>
        </w:rPr>
      </w:r>
    </w:p>
    <w:tbl>
      <w:tblPr>
        <w:tblStyle w:val="Table1"/>
        <w:tblW w:w="16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10605"/>
        <w:gridCol w:w="3220"/>
        <w:tblGridChange w:id="0">
          <w:tblGrid>
            <w:gridCol w:w="2910"/>
            <w:gridCol w:w="10605"/>
            <w:gridCol w:w="3220"/>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Staatliches" w:cs="Staatliches" w:eastAsia="Staatliches" w:hAnsi="Staatliches"/>
                <w:b w:val="1"/>
                <w:sz w:val="36"/>
                <w:szCs w:val="36"/>
              </w:rPr>
            </w:pPr>
            <w:r w:rsidDel="00000000" w:rsidR="00000000" w:rsidRPr="00000000">
              <w:rPr>
                <w:rFonts w:ascii="Staatliches" w:cs="Staatliches" w:eastAsia="Staatliches" w:hAnsi="Staatliches"/>
                <w:b w:val="1"/>
                <w:sz w:val="36"/>
                <w:szCs w:val="36"/>
                <w:rtl w:val="0"/>
              </w:rPr>
              <w:t xml:space="preserve">Reciprocal CoachiNg Cycle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Staatliches" w:cs="Staatliches" w:eastAsia="Staatliches" w:hAnsi="Staatliches"/>
                <w:b w:val="1"/>
                <w:sz w:val="36"/>
                <w:szCs w:val="36"/>
              </w:rPr>
            </w:pPr>
            <w:r w:rsidDel="00000000" w:rsidR="00000000" w:rsidRPr="00000000">
              <w:rPr>
                <w:rFonts w:ascii="Staatliches" w:cs="Staatliches" w:eastAsia="Staatliches" w:hAnsi="Staatliches"/>
                <w:b w:val="1"/>
                <w:sz w:val="36"/>
                <w:szCs w:val="36"/>
                <w:rtl w:val="0"/>
              </w:rPr>
              <w:t xml:space="preserve">Agenda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Staatliches" w:cs="Staatliches" w:eastAsia="Staatliches" w:hAnsi="Staatliches"/>
                <w:b w:val="1"/>
                <w:sz w:val="36"/>
                <w:szCs w:val="36"/>
              </w:rPr>
            </w:pPr>
            <w:r w:rsidDel="00000000" w:rsidR="00000000" w:rsidRPr="00000000">
              <w:rPr>
                <w:rFonts w:ascii="Staatliches" w:cs="Staatliches" w:eastAsia="Staatliches" w:hAnsi="Staatliches"/>
                <w:b w:val="1"/>
                <w:sz w:val="36"/>
                <w:szCs w:val="36"/>
                <w:rtl w:val="0"/>
              </w:rPr>
              <w:t xml:space="preserve">Suggested Activities</w:t>
            </w:r>
          </w:p>
        </w:tc>
      </w:tr>
      <w:tr>
        <w:trPr>
          <w:cantSplit w:val="0"/>
          <w:trHeight w:val="1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Before the Cycle:</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numPr>
                <w:ilvl w:val="0"/>
                <w:numId w:val="7"/>
              </w:numPr>
              <w:spacing w:line="240" w:lineRule="auto"/>
              <w:ind w:left="720" w:hanging="360"/>
              <w:rPr>
                <w:u w:val="none"/>
              </w:rPr>
            </w:pPr>
            <w:r w:rsidDel="00000000" w:rsidR="00000000" w:rsidRPr="00000000">
              <w:rPr>
                <w:rtl w:val="0"/>
              </w:rPr>
              <w:t xml:space="preserve">Introductions</w:t>
            </w:r>
          </w:p>
          <w:p w:rsidR="00000000" w:rsidDel="00000000" w:rsidP="00000000" w:rsidRDefault="00000000" w:rsidRPr="00000000" w14:paraId="0000000E">
            <w:pPr>
              <w:widowControl w:val="0"/>
              <w:numPr>
                <w:ilvl w:val="0"/>
                <w:numId w:val="4"/>
              </w:numPr>
              <w:spacing w:line="240" w:lineRule="auto"/>
              <w:ind w:left="720" w:hanging="360"/>
              <w:rPr>
                <w:u w:val="none"/>
              </w:rPr>
            </w:pPr>
            <w:r w:rsidDel="00000000" w:rsidR="00000000" w:rsidRPr="00000000">
              <w:rPr>
                <w:rtl w:val="0"/>
              </w:rPr>
              <w:t xml:space="preserve">Setting our Purpose</w:t>
            </w:r>
          </w:p>
          <w:p w:rsidR="00000000" w:rsidDel="00000000" w:rsidP="00000000" w:rsidRDefault="00000000" w:rsidRPr="00000000" w14:paraId="000000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5"/>
              </w:numPr>
              <w:spacing w:line="240" w:lineRule="auto"/>
              <w:ind w:left="720" w:hanging="360"/>
            </w:pPr>
            <w:r w:rsidDel="00000000" w:rsidR="00000000" w:rsidRPr="00000000">
              <w:rPr>
                <w:rtl w:val="0"/>
              </w:rPr>
              <w:t xml:space="preserve">Set norms, expectations, and meeting cadence</w:t>
            </w:r>
          </w:p>
          <w:p w:rsidR="00000000" w:rsidDel="00000000" w:rsidP="00000000" w:rsidRDefault="00000000" w:rsidRPr="00000000" w14:paraId="00000011">
            <w:pPr>
              <w:widowControl w:val="0"/>
              <w:numPr>
                <w:ilvl w:val="0"/>
                <w:numId w:val="5"/>
              </w:numPr>
              <w:spacing w:line="240" w:lineRule="auto"/>
              <w:ind w:left="720" w:hanging="360"/>
            </w:pPr>
            <w:r w:rsidDel="00000000" w:rsidR="00000000" w:rsidRPr="00000000">
              <w:rPr>
                <w:rtl w:val="0"/>
              </w:rPr>
              <w:t xml:space="preserve">Use pre goal setting - </w:t>
            </w:r>
            <w:hyperlink r:id="rId6">
              <w:r w:rsidDel="00000000" w:rsidR="00000000" w:rsidRPr="00000000">
                <w:rPr>
                  <w:color w:val="1155cc"/>
                  <w:u w:val="single"/>
                  <w:rtl w:val="0"/>
                </w:rPr>
                <w:t xml:space="preserve">assessment </w:t>
              </w:r>
            </w:hyperlink>
            <w:r w:rsidDel="00000000" w:rsidR="00000000" w:rsidRPr="00000000">
              <w:rPr>
                <w:rtl w:val="0"/>
              </w:rPr>
              <w:t xml:space="preserve">to identify individual opportunities for growth </w:t>
            </w:r>
          </w:p>
          <w:p w:rsidR="00000000" w:rsidDel="00000000" w:rsidP="00000000" w:rsidRDefault="00000000" w:rsidRPr="00000000" w14:paraId="00000012">
            <w:pPr>
              <w:widowControl w:val="0"/>
              <w:numPr>
                <w:ilvl w:val="0"/>
                <w:numId w:val="5"/>
              </w:numPr>
              <w:spacing w:line="240" w:lineRule="auto"/>
              <w:ind w:left="720" w:hanging="360"/>
            </w:pPr>
            <w:r w:rsidDel="00000000" w:rsidR="00000000" w:rsidRPr="00000000">
              <w:rPr>
                <w:rtl w:val="0"/>
              </w:rPr>
              <w:t xml:space="preserve">Identify instructional strategies to try </w:t>
            </w:r>
          </w:p>
          <w:p w:rsidR="00000000" w:rsidDel="00000000" w:rsidP="00000000" w:rsidRDefault="00000000" w:rsidRPr="00000000" w14:paraId="00000013">
            <w:pPr>
              <w:widowControl w:val="0"/>
              <w:numPr>
                <w:ilvl w:val="0"/>
                <w:numId w:val="5"/>
              </w:numPr>
              <w:spacing w:line="240" w:lineRule="auto"/>
              <w:ind w:left="720" w:hanging="360"/>
            </w:pPr>
            <w:r w:rsidDel="00000000" w:rsidR="00000000" w:rsidRPr="00000000">
              <w:rPr>
                <w:rtl w:val="0"/>
              </w:rPr>
              <w:t xml:space="preserve">Set individual goals</w:t>
            </w:r>
          </w:p>
          <w:p w:rsidR="00000000" w:rsidDel="00000000" w:rsidP="00000000" w:rsidRDefault="00000000" w:rsidRPr="00000000" w14:paraId="00000014">
            <w:pPr>
              <w:widowControl w:val="0"/>
              <w:numPr>
                <w:ilvl w:val="0"/>
                <w:numId w:val="5"/>
              </w:numPr>
              <w:spacing w:line="240" w:lineRule="auto"/>
              <w:ind w:left="720" w:hanging="360"/>
              <w:rPr>
                <w:u w:val="none"/>
              </w:rPr>
            </w:pPr>
            <w:r w:rsidDel="00000000" w:rsidR="00000000" w:rsidRPr="00000000">
              <w:rPr>
                <w:rtl w:val="0"/>
              </w:rPr>
              <w:t xml:space="preserve">Finalize peer observation schedule and cycle end date</w:t>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During the Cycle:</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numPr>
                <w:ilvl w:val="0"/>
                <w:numId w:val="8"/>
              </w:numPr>
              <w:spacing w:line="240" w:lineRule="auto"/>
              <w:ind w:left="720" w:hanging="360"/>
              <w:rPr>
                <w:u w:val="none"/>
              </w:rPr>
            </w:pPr>
            <w:r w:rsidDel="00000000" w:rsidR="00000000" w:rsidRPr="00000000">
              <w:rPr>
                <w:rtl w:val="0"/>
              </w:rPr>
              <w:t xml:space="preserve">Monitoring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1"/>
              </w:numPr>
              <w:spacing w:line="240" w:lineRule="auto"/>
              <w:ind w:left="720" w:hanging="360"/>
              <w:rPr>
                <w:u w:val="none"/>
              </w:rPr>
            </w:pPr>
            <w:r w:rsidDel="00000000" w:rsidR="00000000" w:rsidRPr="00000000">
              <w:rPr>
                <w:rtl w:val="0"/>
              </w:rPr>
              <w:t xml:space="preserve">Develop implementation plan for the new instructional strategy</w:t>
            </w:r>
          </w:p>
          <w:p w:rsidR="00000000" w:rsidDel="00000000" w:rsidP="00000000" w:rsidRDefault="00000000" w:rsidRPr="00000000" w14:paraId="00000019">
            <w:pPr>
              <w:widowControl w:val="0"/>
              <w:numPr>
                <w:ilvl w:val="0"/>
                <w:numId w:val="1"/>
              </w:numPr>
              <w:spacing w:line="240" w:lineRule="auto"/>
              <w:ind w:left="720" w:hanging="360"/>
              <w:rPr>
                <w:u w:val="none"/>
              </w:rPr>
            </w:pPr>
            <w:r w:rsidDel="00000000" w:rsidR="00000000" w:rsidRPr="00000000">
              <w:rPr>
                <w:rtl w:val="0"/>
              </w:rPr>
              <w:t xml:space="preserve">Debrief observation</w:t>
            </w:r>
          </w:p>
          <w:p w:rsidR="00000000" w:rsidDel="00000000" w:rsidP="00000000" w:rsidRDefault="00000000" w:rsidRPr="00000000" w14:paraId="0000001A">
            <w:pPr>
              <w:widowControl w:val="0"/>
              <w:numPr>
                <w:ilvl w:val="0"/>
                <w:numId w:val="1"/>
              </w:numPr>
              <w:spacing w:line="240" w:lineRule="auto"/>
              <w:ind w:left="720" w:hanging="360"/>
              <w:rPr>
                <w:u w:val="none"/>
              </w:rPr>
            </w:pPr>
            <w:r w:rsidDel="00000000" w:rsidR="00000000" w:rsidRPr="00000000">
              <w:rPr>
                <w:rtl w:val="0"/>
              </w:rPr>
              <w:t xml:space="preserve">Analyze student thinking</w:t>
            </w:r>
          </w:p>
          <w:p w:rsidR="00000000" w:rsidDel="00000000" w:rsidP="00000000" w:rsidRDefault="00000000" w:rsidRPr="00000000" w14:paraId="0000001B">
            <w:pPr>
              <w:widowControl w:val="0"/>
              <w:numPr>
                <w:ilvl w:val="0"/>
                <w:numId w:val="1"/>
              </w:numPr>
              <w:spacing w:line="240" w:lineRule="auto"/>
              <w:ind w:left="720" w:hanging="360"/>
              <w:rPr>
                <w:u w:val="none"/>
              </w:rPr>
            </w:pPr>
            <w:r w:rsidDel="00000000" w:rsidR="00000000" w:rsidRPr="00000000">
              <w:rPr>
                <w:rtl w:val="0"/>
              </w:rPr>
              <w:t xml:space="preserve">Plan next steps</w:t>
            </w:r>
          </w:p>
        </w:tc>
      </w:tr>
      <w:tr>
        <w:trPr>
          <w:cantSplit w:val="0"/>
          <w:trHeight w:val="1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At the End of The Cycle:</w:t>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numPr>
                <w:ilvl w:val="0"/>
                <w:numId w:val="2"/>
              </w:numPr>
              <w:spacing w:line="240" w:lineRule="auto"/>
              <w:ind w:left="720" w:hanging="360"/>
              <w:rPr>
                <w:u w:val="none"/>
              </w:rPr>
            </w:pPr>
            <w:r w:rsidDel="00000000" w:rsidR="00000000" w:rsidRPr="00000000">
              <w:rPr>
                <w:rtl w:val="0"/>
              </w:rPr>
              <w:t xml:space="preserve">Reflecting Together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3"/>
              </w:numPr>
              <w:spacing w:line="240" w:lineRule="auto"/>
              <w:ind w:left="720" w:hanging="360"/>
              <w:rPr>
                <w:u w:val="none"/>
              </w:rPr>
            </w:pPr>
            <w:r w:rsidDel="00000000" w:rsidR="00000000" w:rsidRPr="00000000">
              <w:rPr>
                <w:rtl w:val="0"/>
              </w:rPr>
              <w:t xml:space="preserve">Debrief goals</w:t>
            </w:r>
          </w:p>
          <w:p w:rsidR="00000000" w:rsidDel="00000000" w:rsidP="00000000" w:rsidRDefault="00000000" w:rsidRPr="00000000" w14:paraId="00000020">
            <w:pPr>
              <w:widowControl w:val="0"/>
              <w:numPr>
                <w:ilvl w:val="0"/>
                <w:numId w:val="3"/>
              </w:numPr>
              <w:spacing w:line="240" w:lineRule="auto"/>
              <w:ind w:left="720" w:hanging="360"/>
            </w:pPr>
            <w:r w:rsidDel="00000000" w:rsidR="00000000" w:rsidRPr="00000000">
              <w:rPr>
                <w:rtl w:val="0"/>
              </w:rPr>
              <w:t xml:space="preserve">Reflect on growth in student learning and adult learning</w:t>
            </w:r>
          </w:p>
          <w:p w:rsidR="00000000" w:rsidDel="00000000" w:rsidP="00000000" w:rsidRDefault="00000000" w:rsidRPr="00000000" w14:paraId="00000021">
            <w:pPr>
              <w:widowControl w:val="0"/>
              <w:numPr>
                <w:ilvl w:val="0"/>
                <w:numId w:val="3"/>
              </w:numPr>
              <w:spacing w:line="240" w:lineRule="auto"/>
              <w:ind w:left="720" w:hanging="360"/>
              <w:rPr>
                <w:u w:val="none"/>
              </w:rPr>
            </w:pPr>
            <w:r w:rsidDel="00000000" w:rsidR="00000000" w:rsidRPr="00000000">
              <w:rPr>
                <w:rtl w:val="0"/>
              </w:rPr>
              <w:t xml:space="preserve">Set new individual goals</w:t>
            </w:r>
          </w:p>
        </w:tc>
      </w:tr>
    </w:tbl>
    <w:p w:rsidR="00000000" w:rsidDel="00000000" w:rsidP="00000000" w:rsidRDefault="00000000" w:rsidRPr="00000000" w14:paraId="00000022">
      <w:pPr>
        <w:jc w:val="left"/>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23">
      <w:pPr>
        <w:pStyle w:val="Heading1"/>
        <w:spacing w:after="240" w:before="240" w:lineRule="auto"/>
        <w:rPr>
          <w:rFonts w:ascii="Open Sans" w:cs="Open Sans" w:eastAsia="Open Sans" w:hAnsi="Open Sans"/>
          <w:b w:val="1"/>
          <w:sz w:val="24"/>
          <w:szCs w:val="24"/>
        </w:rPr>
      </w:pPr>
      <w:bookmarkStart w:colFirst="0" w:colLast="0" w:name="_s8pfwuovnes1" w:id="0"/>
      <w:bookmarkEnd w:id="0"/>
      <w:r w:rsidDel="00000000" w:rsidR="00000000" w:rsidRPr="00000000">
        <w:rPr>
          <w:rFonts w:ascii="Open Sans" w:cs="Open Sans" w:eastAsia="Open Sans" w:hAnsi="Open Sans"/>
          <w:b w:val="1"/>
          <w:sz w:val="24"/>
          <w:szCs w:val="24"/>
          <w:rtl w:val="0"/>
        </w:rPr>
        <w:t xml:space="preserve">Goal Setting Protocol</w:t>
      </w:r>
    </w:p>
    <w:tbl>
      <w:tblPr>
        <w:tblStyle w:val="Table2"/>
        <w:tblW w:w="136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11835"/>
        <w:tblGridChange w:id="0">
          <w:tblGrid>
            <w:gridCol w:w="1785"/>
            <w:gridCol w:w="1183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Teacher practice Goal:</w:t>
            </w:r>
          </w:p>
          <w:p w:rsidR="00000000" w:rsidDel="00000000" w:rsidP="00000000" w:rsidRDefault="00000000" w:rsidRPr="00000000" w14:paraId="00000025">
            <w:pPr>
              <w:widowControl w:val="0"/>
              <w:spacing w:line="240" w:lineRule="auto"/>
              <w:rPr>
                <w:rFonts w:ascii="Open Sans" w:cs="Open Sans" w:eastAsia="Open Sans" w:hAnsi="Open Sans"/>
              </w:rPr>
            </w:pPr>
            <w:r w:rsidDel="00000000" w:rsidR="00000000" w:rsidRPr="00000000">
              <w:rPr>
                <w:rFonts w:ascii="Open Sans" w:cs="Open Sans" w:eastAsia="Open Sans" w:hAnsi="Open Sans"/>
                <w:i w:val="1"/>
                <w:sz w:val="18"/>
                <w:szCs w:val="18"/>
                <w:rtl w:val="0"/>
              </w:rPr>
              <w:t xml:space="preserve">How will you grow in your practice?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6"/>
              </w:numPr>
              <w:spacing w:line="240" w:lineRule="auto"/>
              <w:ind w:left="720" w:hanging="360"/>
              <w:rPr>
                <w:rFonts w:ascii="Open Sans" w:cs="Open Sans" w:eastAsia="Open Sans" w:hAnsi="Open Sans"/>
              </w:rPr>
            </w:pPr>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Actions to try:</w:t>
            </w:r>
          </w:p>
          <w:p w:rsidR="00000000" w:rsidDel="00000000" w:rsidP="00000000" w:rsidRDefault="00000000" w:rsidRPr="00000000" w14:paraId="00000028">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i w:val="1"/>
                <w:sz w:val="18"/>
                <w:szCs w:val="18"/>
                <w:rtl w:val="0"/>
              </w:rPr>
              <w:t xml:space="preserve">Name some next steps to achieve your goal.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440" w:firstLine="0"/>
              <w:rPr>
                <w:rFonts w:ascii="Open Sans" w:cs="Open Sans" w:eastAsia="Open Sans" w:hAnsi="Open Sans"/>
              </w:rPr>
            </w:pPr>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Outside Learning Needed:</w:t>
            </w:r>
          </w:p>
          <w:p w:rsidR="00000000" w:rsidDel="00000000" w:rsidP="00000000" w:rsidRDefault="00000000" w:rsidRPr="00000000" w14:paraId="0000002B">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i w:val="1"/>
                <w:sz w:val="18"/>
                <w:szCs w:val="18"/>
                <w:rtl w:val="0"/>
              </w:rPr>
              <w:t xml:space="preserve">What professional development, outside readings, or other learning will support you?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Open Sans" w:cs="Open Sans" w:eastAsia="Open Sans" w:hAnsi="Open Sans"/>
              </w:rPr>
            </w:pPr>
            <w:hyperlink r:id="rId7">
              <w:r w:rsidDel="00000000" w:rsidR="00000000" w:rsidRPr="00000000">
                <w:rPr>
                  <w:rFonts w:ascii="Open Sans" w:cs="Open Sans" w:eastAsia="Open Sans" w:hAnsi="Open Sans"/>
                  <w:color w:val="1155cc"/>
                  <w:u w:val="single"/>
                  <w:rtl w:val="0"/>
                </w:rPr>
                <w:t xml:space="preserve">Tools &amp; Resources for Action</w:t>
              </w:r>
            </w:hyperlink>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Student Outcomes:</w:t>
            </w:r>
          </w:p>
          <w:p w:rsidR="00000000" w:rsidDel="00000000" w:rsidP="00000000" w:rsidRDefault="00000000" w:rsidRPr="00000000" w14:paraId="0000002E">
            <w:pPr>
              <w:widowControl w:val="0"/>
              <w:spacing w:line="240" w:lineRule="auto"/>
              <w:rPr>
                <w:rFonts w:ascii="Open Sans" w:cs="Open Sans" w:eastAsia="Open Sans" w:hAnsi="Open Sans"/>
              </w:rPr>
            </w:pPr>
            <w:r w:rsidDel="00000000" w:rsidR="00000000" w:rsidRPr="00000000">
              <w:rPr>
                <w:rFonts w:ascii="Open Sans" w:cs="Open Sans" w:eastAsia="Open Sans" w:hAnsi="Open Sans"/>
                <w:i w:val="1"/>
                <w:sz w:val="18"/>
                <w:szCs w:val="18"/>
                <w:rtl w:val="0"/>
              </w:rPr>
              <w:t xml:space="preserve">What measurable student outcomes will you see if you meet your goal?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30">
      <w:pPr>
        <w:spacing w:after="240" w:before="240" w:lineRule="auto"/>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31">
      <w:pPr>
        <w:spacing w:after="240" w:before="240" w:lineRule="auto"/>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32">
      <w:pPr>
        <w:spacing w:after="240" w:before="240" w:lineRule="auto"/>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33">
      <w:pPr>
        <w:spacing w:after="240" w:before="240" w:lineRule="auto"/>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34">
      <w:pPr>
        <w:spacing w:after="240" w:before="240" w:lineRule="auto"/>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35">
      <w:pPr>
        <w:pStyle w:val="Heading1"/>
        <w:spacing w:after="240" w:before="240" w:lineRule="auto"/>
        <w:rPr>
          <w:rFonts w:ascii="Raleway" w:cs="Raleway" w:eastAsia="Raleway" w:hAnsi="Raleway"/>
          <w:b w:val="1"/>
          <w:sz w:val="24"/>
          <w:szCs w:val="24"/>
        </w:rPr>
      </w:pPr>
      <w:bookmarkStart w:colFirst="0" w:colLast="0" w:name="_7n444qigfl9u" w:id="1"/>
      <w:bookmarkEnd w:id="1"/>
      <w:r w:rsidDel="00000000" w:rsidR="00000000" w:rsidRPr="00000000">
        <w:rPr>
          <w:rtl w:val="0"/>
        </w:rPr>
      </w:r>
    </w:p>
    <w:tbl>
      <w:tblPr>
        <w:tblStyle w:val="Table3"/>
        <w:tblW w:w="15390.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1995"/>
        <w:gridCol w:w="4770"/>
        <w:gridCol w:w="6105"/>
        <w:gridCol w:w="1365"/>
        <w:tblGridChange w:id="0">
          <w:tblGrid>
            <w:gridCol w:w="1155"/>
            <w:gridCol w:w="1995"/>
            <w:gridCol w:w="4770"/>
            <w:gridCol w:w="6105"/>
            <w:gridCol w:w="1365"/>
          </w:tblGrid>
        </w:tblGridChange>
      </w:tblGrid>
      <w:tr>
        <w:trPr>
          <w:cantSplit w:val="0"/>
          <w:trHeight w:val="420" w:hRule="atLeast"/>
          <w:tblHeader w:val="0"/>
        </w:trPr>
        <w:tc>
          <w:tcPr>
            <w:gridSpan w:val="3"/>
            <w:shd w:fill="f3f3f3"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Insert teacher name and ID here</w:t>
            </w:r>
          </w:p>
        </w:tc>
        <w:tc>
          <w:tcPr>
            <w:gridSpan w:val="2"/>
            <w:shd w:fill="f3f3f3"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Insert teacher name and ID here</w:t>
            </w:r>
          </w:p>
        </w:tc>
      </w:tr>
      <w:tr>
        <w:trPr>
          <w:cantSplit w:val="0"/>
          <w:tblHeader w:val="0"/>
        </w:trPr>
        <w:tc>
          <w:tcPr>
            <w:shd w:fill="a4c2f4"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Date</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Coaching Activity</w:t>
            </w:r>
          </w:p>
          <w:p w:rsidR="00000000" w:rsidDel="00000000" w:rsidP="00000000" w:rsidRDefault="00000000" w:rsidRPr="00000000" w14:paraId="0000003D">
            <w:pPr>
              <w:widowControl w:val="0"/>
              <w:spacing w:line="240" w:lineRule="auto"/>
              <w:jc w:val="center"/>
              <w:rPr>
                <w:rFonts w:ascii="Open Sans" w:cs="Open Sans" w:eastAsia="Open Sans" w:hAnsi="Open Sans"/>
                <w:b w:val="1"/>
              </w:rPr>
            </w:pPr>
            <w:r w:rsidDel="00000000" w:rsidR="00000000" w:rsidRPr="00000000">
              <w:rPr>
                <w:rFonts w:ascii="Open Sans" w:cs="Open Sans" w:eastAsia="Open Sans" w:hAnsi="Open Sans"/>
                <w:i w:val="1"/>
                <w:sz w:val="16"/>
                <w:szCs w:val="16"/>
                <w:rtl w:val="0"/>
              </w:rPr>
              <w:t xml:space="preserve">Student work analysis, collaborative planning, observation debriefs, etc.</w:t>
            </w:r>
            <w:r w:rsidDel="00000000" w:rsidR="00000000" w:rsidRPr="00000000">
              <w:rPr>
                <w:rtl w:val="0"/>
              </w:rPr>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Overall Progress toward Goal</w:t>
            </w:r>
          </w:p>
          <w:p w:rsidR="00000000" w:rsidDel="00000000" w:rsidP="00000000" w:rsidRDefault="00000000" w:rsidRPr="00000000" w14:paraId="0000003F">
            <w:pPr>
              <w:widowControl w:val="0"/>
              <w:spacing w:line="240" w:lineRule="auto"/>
              <w:jc w:val="center"/>
              <w:rPr>
                <w:rFonts w:ascii="Open Sans" w:cs="Open Sans" w:eastAsia="Open Sans" w:hAnsi="Open Sans"/>
                <w:i w:val="1"/>
                <w:sz w:val="16"/>
                <w:szCs w:val="16"/>
              </w:rPr>
            </w:pPr>
            <w:r w:rsidDel="00000000" w:rsidR="00000000" w:rsidRPr="00000000">
              <w:rPr>
                <w:rFonts w:ascii="Open Sans" w:cs="Open Sans" w:eastAsia="Open Sans" w:hAnsi="Open Sans"/>
                <w:i w:val="1"/>
                <w:sz w:val="16"/>
                <w:szCs w:val="16"/>
                <w:rtl w:val="0"/>
              </w:rPr>
              <w:t xml:space="preserve">(e.g. new learnings, data/evidence toward intended outcome,)</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Next Steps</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Open Sans" w:cs="Open Sans" w:eastAsia="Open Sans" w:hAnsi="Open Sa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720" w:firstLine="0"/>
              <w:rPr>
                <w:rFonts w:ascii="Open Sans" w:cs="Open Sans" w:eastAsia="Open Sans" w:hAnsi="Open Sa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720" w:firstLine="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47">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48">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49">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4A">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4B">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4C">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4D">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4E">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4F">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0">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1">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2">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3">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4">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5">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6">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7">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8">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9">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A">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B">
      <w:pPr>
        <w:rPr>
          <w:rFonts w:ascii="Antic Slab" w:cs="Antic Slab" w:eastAsia="Antic Slab" w:hAnsi="Antic Slab"/>
          <w:sz w:val="24"/>
          <w:szCs w:val="24"/>
        </w:rPr>
      </w:pPr>
      <w:r w:rsidDel="00000000" w:rsidR="00000000" w:rsidRPr="00000000">
        <w:rPr>
          <w:rtl w:val="0"/>
        </w:rPr>
      </w:r>
    </w:p>
    <w:p w:rsidR="00000000" w:rsidDel="00000000" w:rsidP="00000000" w:rsidRDefault="00000000" w:rsidRPr="00000000" w14:paraId="0000005C">
      <w:pPr>
        <w:ind w:left="0" w:firstLine="0"/>
        <w:rPr>
          <w:rFonts w:ascii="Antic Slab" w:cs="Antic Slab" w:eastAsia="Antic Slab" w:hAnsi="Antic Slab"/>
          <w:sz w:val="24"/>
          <w:szCs w:val="24"/>
        </w:rPr>
      </w:pPr>
      <w:r w:rsidDel="00000000" w:rsidR="00000000" w:rsidRPr="00000000">
        <w:rPr>
          <w:rtl w:val="0"/>
        </w:rPr>
      </w:r>
    </w:p>
    <w:sectPr>
      <w:pgSz w:h="12240" w:w="15840" w:orient="landscape"/>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taatliches">
    <w:embedRegular w:fontKey="{00000000-0000-0000-0000-000000000000}" r:id="rId5" w:subsetted="0"/>
  </w:font>
  <w:font w:name="Antic Slab">
    <w:embedRegular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HVphBnu0k9I8Hwomng2zBX68VBwN9qQmzSkhEy5v1nD1u4A/viewform" TargetMode="External"/><Relationship Id="rId7" Type="http://schemas.openxmlformats.org/officeDocument/2006/relationships/hyperlink" Target="https://connectednational.org/reciprocal-coaching-pilot-study-2/reciprocal-coaching-pilot-study/tools-resources-for-a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Staatliches-regular.ttf"/><Relationship Id="rId6" Type="http://schemas.openxmlformats.org/officeDocument/2006/relationships/font" Target="fonts/AnticSlab-regular.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